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28613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character" w:styleId="ListLabel1">
    <w:name w:val="ListLabel 1"/>
    <w:qFormat/>
    <w:rPr>
      <w:rFonts w:eastAsia="Times New Roman" w:cs="Calibri" w:cs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2</Pages>
  <Words>761</Words>
  <Characters>5162</Characters>
  <CharactersWithSpaces>5909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2023-10-27T07:20:00Z</dcterms:created>
  <dc:creator>Jacek Jaczewski</dc:creator>
  <dc:description/>
  <dc:language>pl-PL</dc:language>
  <cp:lastModifiedBy>Pilzak Piotr</cp:lastModifiedBy>
  <cp:lastPrinted>2021-09-30T08:18:00Z</cp:lastPrinted>
  <dcterms:modified xsi:type="dcterms:W3CDTF">2023-10-27T07:20:00Z</dcterms:modified>
  <cp:revision>2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